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РЕКОМЕНДАЦІЇ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xjgl6p454f83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щодо формування кошторису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Шановні учасники конкурсу, перед подачею пакету документів просимо уважно ознайомитися з умовами отримання гранту!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Загальні умови формування кошторису: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максимальна сума гранту до 60 тис. дол. США, з яких: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менше 80% від загальної суми бюджету спрямовується на надання соціальних послу, у тому числі на проведення інформаційної кампанії з популяризації соціальних послуг (не більше 8%);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більше 8% від загальної суми бюджету спрямовується на підвищення спроможності організації як надавача соціальних послуг;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 більше 20% від загальної суми бюджету спрямовується на адміністративні витрати.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перерахування коштів здійснюється двома платежами у співвідношенні: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платіж 1 –  40% від загальної суми гранту;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платіж 2 – 60% від загальної суми гранту та виплачується у гривнях відповідно                   до курсу Організацій Об'єднаних Націй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https://treasury.un.org/operationalrates/OperationalRates.php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встановленого на місяць здійснення платежу.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кошти малого гранту отримувачами малих грантів спрямовуються на: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надання соціальних послуг сім'ям з дітьми та дітям та / або послуги раннього втручання, згідно з формою кошторису (загальний обсяг витрат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 менше 80% від загальної суми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у тому числі витрати на проведення інформаційної кампанії з популяризації соціальних послуг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не більше 8% від загальної суми бюджету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Важливо!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У випадку подання заявки на декілька соціальних послуг, в кошторисі витрат зазначаються витрати на кожну послугу окремо.</w:t>
        <w:tab/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оплату праці персоналу, залученого до надання послуг;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закупівлю матеріалів, обладнання,  інвентаря, що використовуються для надання послуги;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закупівлю послуг (транспортні послуги, освітні послуги, ремонт обладнання, оплата комунальних послуг та інше);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дизайн та друк інформаційних матеріалів (брошур, листівок, буклетів) про соціальні послуги;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виробництво відеороликів про можливість отримання соціальних послуг;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реклама на телебаченні, радіо, медіа;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публікація статей у медіа;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запуск чат-боту для консультацій щодо отримання соціальних послуг;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оренда приміщення для заходу;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відрядження;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транспортні витрати;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інші витрати.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підвищення спроможності організації як надавача соціальних послуг (не більше 8% від загальної суми бюджету), можуть включати: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закупівля товарів/послуг;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поточний ремонт приміщення, в якому отримувач малого гранту провадить свою статутну діяльність під час реалізації проєкту та надає соціальну послугу;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проведення стратегічного планування розвитку соціальних послуг відповідно до потреб громади;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залучення експертів для супервізії роботи персоналу та покращення якості надання соціальних послуг;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розробка/перегляд політик та процедур надання соціальних послуг відповідно до державних стандартів та найкращих практик;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нового сайту або удосконалення існуючого для покращення доступу до інформації через соціальні послуги;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проходження сертифікаційних програм та навчальних курсів для підвищення професійного рівня персоналу , які надають соціальні послуги;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навчання персоналу з використання цифрових технологій у наданні соціальних послуг (автоматизація процесів, СRM-системи, електронні бази даних);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річні підписки на веб-сервіси, які посилюють роль організації як надавача соціальних послуг;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адвокаційної/комунікаційної/маркетингової/медіа стратегії щодо популяризації та підвищення обізнаності населення громади про соціальні послуги;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тренінг з метою підвищення навичок з комунікації, цифрового просування та інформування про соціальні послуги;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менторинг для фахівців з комунікацій у сфері надання соціальних послуг;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тренінги з профілактики емоційного вигорання та психологічної підтримки осіб, залучених до надання соціальних послуг;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тренінги з адвокації та захисту прав отримувачів соціальних послуг;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проведення безпекового аудиту в процесі надання соціальних послуг;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розробка політик, процедур, протоколів, планів фізичної/ментальної/цифрової безпеки;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річні підписки на сервіси, які підвищують рівень безпеки організації, осіб, залучених до надання соціальних послуг та отримувачів соціальних послуг, у т.ч. підписки на ліцензовані охоронні послуги;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закупівля матеріальних цінностей, обладнання, спрямованих на покращення діяльності надавача соціальних послуг з урахуванням принципів безбар’єрності та інклюзивності;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hanging="35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інші витрати, які посилять спроможність організації як надавача соціальних послуг.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93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93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адміністративні витрати – до 20% від загальної суми бюджету: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оплата праці персоналу, залученого до супроводу малого гранту (наприклад: оплата праці керівника проєкту, фінансист, бухгалтер, спеціаліст з моніторингу та оцінки, комунікаційний тощо);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оренда та обслуговування нежитлових приміщень в яких отримувач малого гранту провадить свою статутну діяльність на період реалізації проєкту;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канцелярські витрати, необхідні для реалізації проекту та звітування за нього;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витрати на оплату послуг зв’язку (у тому числі поштові витрати, телефонний зв'язок, інтернет);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8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інші витрати, пов’язані з діяльністю організації щодо супроводу проєкту.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Важливо!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Не допускається спрямування коштів малого гранту на: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оплату послуг, які не є предметом договору;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здійснення заходів, які фінансуються за рахунок видатків, передбачених бюджетними програмами;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оплату ПДВ. Платежі, що мають в структурі ПДВ можуть бути прийняті, проте сама сума ПДВ в структурі платежів може бути зарахована як монетарне співфінансування зі сторони організації і не може бути покрита за рахунок коштів гранту;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ведення політичної пропаганди та протиправної діяльності;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вплив на результати виборів до органів державної влади або місцевого самоврядування, в тому числі проведення агітаційних кампаній під час підготовки до виборів під час самих виборів;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надання грантів іншим організаціям або окремим  особам (субгрантинг);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виплату благодійної допомоги, здійснення пожертв;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придбання нерухомого майна;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отримання будь-якого доходу за рахунок коштів гранту (включаючи відсотки банку).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Важливо!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Запропоновані статті витрат кошторису формуються на основі діючих цін і тарифів із урахуванням середньої вартості цін в області/м. Києві, де така соціальна послуга надаватиметься у межах малого гранту та мають бути обґрунтованими, забезпечуючи ефективне, результативне і цільове використання коштів.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Вартість соціальних послуг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обраховується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відповідно до державних стандартів соціальних послуг. 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У разі надання послуг, щодо яких не затверджено державних стандартів соціальних послуг, отримувач малого гранту надає послуги з урахуванням методичних рекомендацій/специфікацій, затверджених Мінсоцполітики, та відповідно до Порядку реалізації експериментального проекту із запровадження комплексної соціальної послуги з формування життєстійкості, затвердженого постановою Кабінету Міністрів України від 3 жовтня 2023 р. № 1049 “Про реалізацію експериментального проекту із запровадження комплексної соціальної послуги з формування життєстійкості”.</w:t>
      </w:r>
    </w:p>
    <w:p w:rsidR="00000000" w:rsidDel="00000000" w:rsidP="00000000" w:rsidRDefault="00000000" w:rsidRPr="00000000" w14:paraId="00000049">
      <w:pPr>
        <w:spacing w:after="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Важливо!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Отримувачі малого гранту подають фінансову звітність відповідно до чинного законодавства України та вимог донора.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709" w:left="1701" w:right="56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92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928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7"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C8351F"/>
    <w:pPr>
      <w:ind w:left="720"/>
      <w:contextualSpacing w:val="1"/>
    </w:pPr>
  </w:style>
  <w:style w:type="character" w:styleId="a4">
    <w:name w:val="Hyperlink"/>
    <w:basedOn w:val="a0"/>
    <w:uiPriority w:val="99"/>
    <w:unhideWhenUsed w:val="1"/>
    <w:rsid w:val="00C8351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8351F"/>
    <w:rPr>
      <w:color w:val="605e5c"/>
      <w:shd w:color="auto" w:fill="e1dfdd" w:val="clear"/>
    </w:rPr>
  </w:style>
  <w:style w:type="paragraph" w:styleId="a6">
    <w:name w:val="Normal (Web)"/>
    <w:basedOn w:val="a"/>
    <w:uiPriority w:val="99"/>
    <w:semiHidden w:val="1"/>
    <w:unhideWhenUsed w:val="1"/>
    <w:rsid w:val="00774A0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uk-UA"/>
    </w:rPr>
  </w:style>
  <w:style w:type="paragraph" w:styleId="a7">
    <w:name w:val="header"/>
    <w:basedOn w:val="a"/>
    <w:link w:val="a8"/>
    <w:uiPriority w:val="99"/>
    <w:unhideWhenUsed w:val="1"/>
    <w:rsid w:val="00E8596A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ій колонтитул Знак"/>
    <w:basedOn w:val="a0"/>
    <w:link w:val="a7"/>
    <w:uiPriority w:val="99"/>
    <w:rsid w:val="00E8596A"/>
  </w:style>
  <w:style w:type="paragraph" w:styleId="a9">
    <w:name w:val="footer"/>
    <w:basedOn w:val="a"/>
    <w:link w:val="aa"/>
    <w:uiPriority w:val="99"/>
    <w:unhideWhenUsed w:val="1"/>
    <w:rsid w:val="00E8596A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ій колонтитул Знак"/>
    <w:basedOn w:val="a0"/>
    <w:link w:val="a9"/>
    <w:uiPriority w:val="99"/>
    <w:rsid w:val="00E8596A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treasury.un.org/operationalrates/OperationalRates.php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AFd+j4UqpeCztB7sOEILa2jU0A==">CgMxLjAyDmgueGpnbDZwNDU0ZjgzOAByITFNVmVpRDlvc2JrR29wU0xGS3d0bC1rTUJpaEZfcDFvMw==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2025-04-10T08:06:00Z</dcterms:created>
  <dc:creator>Olena Sobchuk</dc:creator>
</cp:coreProperties>
</file>